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528.065"/>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«Правовое обеспечение в государственном  и муниципальном управлении», утв. приказом ректора ОмГА от 25.03.2024 №34.</w:t>
            </w:r>
          </w:p>
        </w:tc>
      </w:tr>
      <w:tr>
        <w:trPr>
          <w:trHeight w:hRule="exact" w:val="138.915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856.904"/>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Организация добровольческой (волонтерской) деятельности и взаимодействие с социально ориентированными НКО</w:t>
            </w:r>
          </w:p>
          <w:p>
            <w:pPr>
              <w:jc w:val="center"/>
              <w:spacing w:after="0" w:line="240" w:lineRule="auto"/>
              <w:rPr>
                <w:sz w:val="32"/>
                <w:szCs w:val="32"/>
              </w:rPr>
            </w:pPr>
            <w:r>
              <w:rPr>
                <w:rFonts w:ascii="Times New Roman" w:hAnsi="Times New Roman" w:cs="Times New Roman"/>
                <w:color w:val="#000000"/>
                <w:sz w:val="32"/>
                <w:szCs w:val="32"/>
              </w:rPr>
              <w:t> Б1.О.01.07</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«Правовое обеспечение в государственном  и муниципальном управлении»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43"/>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 информационно-методический, контрольно- надзорный</w:t>
            </w:r>
          </w:p>
        </w:tc>
      </w:tr>
      <w:tr>
        <w:trPr>
          <w:trHeight w:hRule="exact" w:val="1118.522"/>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255.46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«Правовое обеспечение в государственном  и муниципальном управлении»;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«Организация добровольческой (волонтерской) деятельности и взаимодействие с социально ориентированными НКО»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заочная форма обучения в соответствии с требованиями законодательства Российской Федерации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Б1.О.01.07 «Организация добровольческой (волонтерской) деятельности и взаимодействие с социально ориентированными НКО».</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«Организация добровольческой (волонтерской) деятельности и взаимодействие с социально ориентированными НКО»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особенности поведения выделенных групп людей, с которыми работает/взаимодействует, учитывает их в своей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методы социального взаимодействия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определять свою роль в социальном взаимодействии и командной работе, исходя из стратегии сотрудничества для достижения поставленной цели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применять принципы социального взаимодействия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способностью планировать последовательность шагов для достижения заданного результата</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владеть практическими навыками социального взаимодействия</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Б1.О.01.07 «Организация добровольческой (волонтерской) деятельности и взаимодействие с социально ориентированными НКО»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самоорганизации и саморазвития студента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Связи с общественностью в органах государственной власти и местного самоуправления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1 зачетных единиц – 36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Волонтёрство как ресурс личностного роста и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Многообразие форм добровольческой</w:t>
            </w:r>
          </w:p>
          <w:p>
            <w:pPr>
              <w:jc w:val="left"/>
              <w:spacing w:after="0" w:line="240" w:lineRule="auto"/>
              <w:rPr>
                <w:sz w:val="24"/>
                <w:szCs w:val="24"/>
              </w:rPr>
            </w:pPr>
            <w:r>
              <w:rPr>
                <w:rFonts w:ascii="Times New Roman" w:hAnsi="Times New Roman" w:cs="Times New Roman"/>
                <w:color w:val="#000000"/>
                <w:sz w:val="24"/>
                <w:szCs w:val="24"/>
              </w:rPr>
              <w:t> (волонтерской)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Организация работы с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Взаимодействие с социально ориентированными НКО, инициативными группами, органами власти и иными</w:t>
            </w:r>
          </w:p>
          <w:p>
            <w:pPr>
              <w:jc w:val="left"/>
              <w:spacing w:after="0" w:line="240" w:lineRule="auto"/>
              <w:rPr>
                <w:sz w:val="24"/>
                <w:szCs w:val="24"/>
              </w:rPr>
            </w:pPr>
            <w:r>
              <w:rPr>
                <w:rFonts w:ascii="Times New Roman" w:hAnsi="Times New Roman" w:cs="Times New Roman"/>
                <w:color w:val="#000000"/>
                <w:sz w:val="24"/>
                <w:szCs w:val="24"/>
              </w:rPr>
              <w:t> организациями.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Волонтёрство как ресурс личностного роста и общественного</w:t>
            </w:r>
          </w:p>
          <w:p>
            <w:pPr>
              <w:jc w:val="left"/>
              <w:spacing w:after="0" w:line="240" w:lineRule="auto"/>
              <w:rPr>
                <w:sz w:val="24"/>
                <w:szCs w:val="24"/>
              </w:rPr>
            </w:pPr>
            <w:r>
              <w:rPr>
                <w:rFonts w:ascii="Times New Roman" w:hAnsi="Times New Roman" w:cs="Times New Roman"/>
                <w:color w:val="#000000"/>
                <w:sz w:val="24"/>
                <w:szCs w:val="24"/>
              </w:rPr>
              <w:t>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Многообразие форм добровольческой (волонтерской)</w:t>
            </w:r>
          </w:p>
          <w:p>
            <w:pPr>
              <w:jc w:val="left"/>
              <w:spacing w:after="0" w:line="240" w:lineRule="auto"/>
              <w:rPr>
                <w:sz w:val="24"/>
                <w:szCs w:val="24"/>
              </w:rPr>
            </w:pPr>
            <w:r>
              <w:rPr>
                <w:rFonts w:ascii="Times New Roman" w:hAnsi="Times New Roman" w:cs="Times New Roman"/>
                <w:color w:val="#000000"/>
                <w:sz w:val="24"/>
                <w:szCs w:val="24"/>
              </w:rPr>
              <w:t>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Организация работы с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Взаимодействие с социально ориентированными НКО, инициативными группами, органами власти и иными организациями.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13378.9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620.75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Волонтёрство как ресурс личностного роста и общественного развития</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добровольчества (волонтерства), добровольческой (волонтерской) организации, организатора добровольческой (волонтерской) деятельности. Взаимосвязь добровольчества(волонтерства) с существенными и позитивными изменениями в личности человека. Государственная политика в области развития добровольчества (волонтерства). Возможности добровольчества (волонтерства) в решении вопросов местного значения, социально-экономическом развитии регионов и достижении целей национального развития.</w:t>
            </w:r>
          </w:p>
        </w:tc>
      </w:tr>
      <w:tr>
        <w:trPr>
          <w:trHeight w:hRule="exact" w:val="585.059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Многообразие форм добровольческой</w:t>
            </w:r>
          </w:p>
          <w:p>
            <w:pPr>
              <w:jc w:val="center"/>
              <w:spacing w:after="0" w:line="240" w:lineRule="auto"/>
              <w:rPr>
                <w:sz w:val="24"/>
                <w:szCs w:val="24"/>
              </w:rPr>
            </w:pPr>
            <w:r>
              <w:rPr>
                <w:rFonts w:ascii="Times New Roman" w:hAnsi="Times New Roman" w:cs="Times New Roman"/>
                <w:b/>
                <w:color w:val="#000000"/>
                <w:sz w:val="24"/>
                <w:szCs w:val="24"/>
              </w:rPr>
              <w:t> (волонтерской) деятельности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и задачи добровольческой (волонтерской) деятельности. Формы и виды добровольческой (волонтерской) деятельности: разнообразие и взаимное влияние. Историческое наследие и направления добровольчества. Развитие волонтерства в различных сферах жизнедеятельности. Циклы развития волонтерской деятельности. Волонтерский менеджмент. Программы саморазвития личности в аспекте добровольчества. Социальное проектирование. Благотворительность.</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Организация работы с волонтерами</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работы с волонтерами: рекрутинг, повышение узнаваемости проектов, работа со СМИ, обучение, оценка эффективности волонтерской деятельности. Границы ответственности добровольцев (волонтёров), организаторов добровольческой (волонтерской) деятельности и добровольческих (волонтерских) организаций. Мотивация волонтеров. Проблема и профилактика эмоционального выгорания. Сравнительный анализ мотивации стихийных волонтеров, эпизодических волонтеров и волонтеров долгосрочных проектов. Диагностика мотивации волонтеров. Показано, что волонтерская деятельность выступает как условие и фактор формирования  социально значимых личностных свойств человека. Определены основные потребности молодежи, реализуемые в рамках волонтерской деятельности: потребность человека быть нужным другому человеку, потребность в общении, потребность в творчестве, потребность в саморазвитии и построении карьеры, потребность в приобретении социального опыта, потребность в подтверждении самостоятельности и взрослости.</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Взаимодействие с социально ориентированными НКО, инициативными группами, органами власти и иными</w:t>
            </w:r>
          </w:p>
          <w:p>
            <w:pPr>
              <w:jc w:val="center"/>
              <w:spacing w:after="0" w:line="240" w:lineRule="auto"/>
              <w:rPr>
                <w:sz w:val="24"/>
                <w:szCs w:val="24"/>
              </w:rPr>
            </w:pPr>
            <w:r>
              <w:rPr>
                <w:rFonts w:ascii="Times New Roman" w:hAnsi="Times New Roman" w:cs="Times New Roman"/>
                <w:b/>
                <w:color w:val="#000000"/>
                <w:sz w:val="24"/>
                <w:szCs w:val="24"/>
              </w:rPr>
              <w:t> организациями.</w:t>
            </w:r>
          </w:p>
        </w:tc>
      </w:tr>
      <w:tr>
        <w:trPr>
          <w:trHeight w:hRule="exact" w:val="1782.37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Инновации в добровольчестве (волонтерстве) и деятельности социально ориентированных НКО. Формы, механизмы и порядки взаимодействия с федеральными органами власти, органами власти субъектов Российской Федерации, органами местного самоуправления, подведомственными им государственными и муниципальными учреждениями, иными организациями (по направлениям волонтерской деятельности). Взаимодействия с социально ориентированными НКО, органами власти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подведомственными им организациями: причины провалов и лучшие практики. Управление рисками в работе с волонтерами и волонтерскими организациями.</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06"/>
        </w:trPr>
        <w:tc>
          <w:tcPr>
            <w:tcW w:w="9640" w:type="dxa"/>
          </w:tcP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Волонтёрство как ресурс личностного роста и общественного</w:t>
            </w:r>
          </w:p>
          <w:p>
            <w:pPr>
              <w:jc w:val="center"/>
              <w:spacing w:after="0" w:line="240" w:lineRule="auto"/>
              <w:rPr>
                <w:sz w:val="24"/>
                <w:szCs w:val="24"/>
              </w:rPr>
            </w:pPr>
            <w:r>
              <w:rPr>
                <w:rFonts w:ascii="Times New Roman" w:hAnsi="Times New Roman" w:cs="Times New Roman"/>
                <w:b/>
                <w:color w:val="#000000"/>
                <w:sz w:val="24"/>
                <w:szCs w:val="24"/>
              </w:rPr>
              <w:t> развития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ходе обучения студенты активизируют личностные ресурсы, способствующие саморазвитию и самореализации, повышению уровня толерантности и личностной креативности как адаптационного ресурса и условия эффективной волонтерской деятельности, рефлексии, повышению устойчивости к эмоциональному выгоранию и профессиональной деформации.</w:t>
            </w:r>
          </w:p>
        </w:tc>
      </w:tr>
      <w:tr>
        <w:trPr>
          <w:trHeight w:hRule="exact" w:val="14.70022"/>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Многообразие форм добровольческой (волонтерской)</w:t>
            </w:r>
          </w:p>
          <w:p>
            <w:pPr>
              <w:jc w:val="center"/>
              <w:spacing w:after="0" w:line="240" w:lineRule="auto"/>
              <w:rPr>
                <w:sz w:val="24"/>
                <w:szCs w:val="24"/>
              </w:rPr>
            </w:pPr>
            <w:r>
              <w:rPr>
                <w:rFonts w:ascii="Times New Roman" w:hAnsi="Times New Roman" w:cs="Times New Roman"/>
                <w:b/>
                <w:color w:val="#000000"/>
                <w:sz w:val="24"/>
                <w:szCs w:val="24"/>
              </w:rPr>
              <w:t> деятельности.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типы и цели добровольчества (волонтерства): разнообразие и взаимное влияние. Механизмы и технологии добровольческой деятельности. Волонтерский менеджмент. Программы саморазвития личности в аспекте добровольчества.</w:t>
            </w:r>
          </w:p>
        </w:tc>
      </w:tr>
      <w:tr>
        <w:trPr>
          <w:trHeight w:hRule="exact" w:val="14.6995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Организация работы с волонтерами.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Обучение позволит освоить современные психологические технологии диагностики потенциальных волонтеров, с целью профессионального отбора; повышения уровня коммуникативной компетентности, развития профессиональной наблюдательности, анализа различных аспектов синдрома эмоционального выгорания. Обучающиеся будут способны разрабатывать стратегию работы с волонтерскими группами и организациями на основе критического осмысления выбранных и созданных теорий, концепций, подходов и (или) технологий.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Взаимодействие с социально ориентированными НКО, инициативными группами, органами власти и иными организациями.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результате обучения обучающиеся получат представление о знания о способах построения конструктивного общения (взаимодействия) с представителями органами власти и различных социальных групп; приобретают способность демонстрировать коммуникационные умения в контексте социального партнерства.</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«Организация добровольческой (волонтерской) деятельности и взаимодействие с социально ориентированными НКО» / Котлярова Т.С..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9640" w:type="dxa"/>
          </w:tcP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волонтерством:</w:t>
            </w:r>
            <w:r>
              <w:rPr/>
              <w:t xml:space="preserve"> </w:t>
            </w:r>
            <w:r>
              <w:rPr>
                <w:rFonts w:ascii="Times New Roman" w:hAnsi="Times New Roman" w:cs="Times New Roman"/>
                <w:color w:val="#000000"/>
                <w:sz w:val="24"/>
                <w:szCs w:val="24"/>
              </w:rPr>
              <w:t>международный</w:t>
            </w:r>
            <w:r>
              <w:rPr/>
              <w:t xml:space="preserve"> </w:t>
            </w:r>
            <w:r>
              <w:rPr>
                <w:rFonts w:ascii="Times New Roman" w:hAnsi="Times New Roman" w:cs="Times New Roman"/>
                <w:color w:val="#000000"/>
                <w:sz w:val="24"/>
                <w:szCs w:val="24"/>
              </w:rPr>
              <w:t>опыт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локальные</w:t>
            </w:r>
            <w:r>
              <w:rPr/>
              <w:t xml:space="preserve"> </w:t>
            </w:r>
            <w:r>
              <w:rPr>
                <w:rFonts w:ascii="Times New Roman" w:hAnsi="Times New Roman" w:cs="Times New Roman"/>
                <w:color w:val="#000000"/>
                <w:sz w:val="24"/>
                <w:szCs w:val="24"/>
              </w:rPr>
              <w:t>практики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Певная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Зборовский</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978-5-534-10984-9.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https://urait.ru/bcode/454782</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волонтерского</w:t>
            </w:r>
            <w:r>
              <w:rPr/>
              <w:t xml:space="preserve"> </w:t>
            </w:r>
            <w:r>
              <w:rPr>
                <w:rFonts w:ascii="Times New Roman" w:hAnsi="Times New Roman" w:cs="Times New Roman"/>
                <w:color w:val="#000000"/>
                <w:sz w:val="24"/>
                <w:szCs w:val="24"/>
              </w:rPr>
              <w:t>движения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Митрофаненко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http://www.iprbookshop.ru/63025.html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Социально-культурное</w:t>
            </w:r>
            <w:r>
              <w:rPr/>
              <w:t xml:space="preserve"> </w:t>
            </w:r>
            <w:r>
              <w:rPr>
                <w:rFonts w:ascii="Times New Roman" w:hAnsi="Times New Roman" w:cs="Times New Roman"/>
                <w:color w:val="#000000"/>
                <w:sz w:val="24"/>
                <w:szCs w:val="24"/>
              </w:rPr>
              <w:t>творчество</w:t>
            </w:r>
            <w:r>
              <w:rPr/>
              <w:t xml:space="preserve"> </w:t>
            </w:r>
            <w:r>
              <w:rPr>
                <w:rFonts w:ascii="Times New Roman" w:hAnsi="Times New Roman" w:cs="Times New Roman"/>
                <w:color w:val="#000000"/>
                <w:sz w:val="24"/>
                <w:szCs w:val="24"/>
              </w:rPr>
              <w:t>участников</w:t>
            </w:r>
            <w:r>
              <w:rPr/>
              <w:t xml:space="preserve"> </w:t>
            </w:r>
            <w:r>
              <w:rPr>
                <w:rFonts w:ascii="Times New Roman" w:hAnsi="Times New Roman" w:cs="Times New Roman"/>
                <w:color w:val="#000000"/>
                <w:sz w:val="24"/>
                <w:szCs w:val="24"/>
              </w:rPr>
              <w:t>молодежных</w:t>
            </w:r>
            <w:r>
              <w:rPr/>
              <w:t xml:space="preserve"> </w:t>
            </w:r>
            <w:r>
              <w:rPr>
                <w:rFonts w:ascii="Times New Roman" w:hAnsi="Times New Roman" w:cs="Times New Roman"/>
                <w:color w:val="#000000"/>
                <w:sz w:val="24"/>
                <w:szCs w:val="24"/>
              </w:rPr>
              <w:t>объединений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формировании</w:t>
            </w:r>
            <w:r>
              <w:rPr/>
              <w:t xml:space="preserve"> </w:t>
            </w:r>
            <w:r>
              <w:rPr>
                <w:rFonts w:ascii="Times New Roman" w:hAnsi="Times New Roman" w:cs="Times New Roman"/>
                <w:color w:val="#000000"/>
                <w:sz w:val="24"/>
                <w:szCs w:val="24"/>
              </w:rPr>
              <w:t>института</w:t>
            </w:r>
            <w:r>
              <w:rPr/>
              <w:t xml:space="preserve"> </w:t>
            </w:r>
            <w:r>
              <w:rPr>
                <w:rFonts w:ascii="Times New Roman" w:hAnsi="Times New Roman" w:cs="Times New Roman"/>
                <w:color w:val="#000000"/>
                <w:sz w:val="24"/>
                <w:szCs w:val="24"/>
              </w:rPr>
              <w:t>волонтерства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Васильковская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Пономарёв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Кемерово:</w:t>
            </w:r>
            <w:r>
              <w:rPr/>
              <w:t xml:space="preserve"> </w:t>
            </w:r>
            <w:r>
              <w:rPr>
                <w:rFonts w:ascii="Times New Roman" w:hAnsi="Times New Roman" w:cs="Times New Roman"/>
                <w:color w:val="#000000"/>
                <w:sz w:val="24"/>
                <w:szCs w:val="24"/>
              </w:rPr>
              <w:t>Кемеровский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978-5-8154-0361-1.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http://www.iprbookshop.ru/66366.html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регулирование</w:t>
            </w:r>
            <w:r>
              <w:rPr/>
              <w:t xml:space="preserve"> </w:t>
            </w:r>
            <w:r>
              <w:rPr>
                <w:rFonts w:ascii="Times New Roman" w:hAnsi="Times New Roman" w:cs="Times New Roman"/>
                <w:color w:val="#000000"/>
                <w:sz w:val="24"/>
                <w:szCs w:val="24"/>
              </w:rPr>
              <w:t>волонтерской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Тимец</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978-5-00094-344-1.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http://www.iprbookshop.ru/68907.html</w:t>
            </w:r>
            <w:r>
              <w:rPr/>
              <w:t xml:space="preserve"> </w:t>
            </w:r>
          </w:p>
        </w:tc>
      </w:tr>
      <w:tr>
        <w:trPr>
          <w:trHeight w:hRule="exact" w:val="585.06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17.988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197.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338.8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296.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2024-2025_ФГОС3++2024_Бак-ЗФО-ГМУ(ПО)(24)_plx_Организация добровольческой (волонтерской) деятельности и взаимодействие с социально ориентированными НКО</dc:title>
  <dc:creator>FastReport.NET</dc:creator>
</cp:coreProperties>
</file>